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Üniversitemizin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</w:t>
            </w:r>
            <w:r w:rsidR="00BA728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 ifade edebilecekleri uygun ortam sunmaktadır.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Öğrencilerin inanç ve değerlerine saygı gösterilmektedir.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</w:t>
            </w:r>
            <w:r w:rsidR="00C702AE">
              <w:rPr>
                <w:rFonts w:ascii="Times New Roman" w:eastAsia="Calibri" w:hAnsi="Times New Roman" w:cs="Times New Roman"/>
                <w:sz w:val="24"/>
                <w:szCs w:val="24"/>
              </w:rPr>
              <w:t>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öğrencilerin görüş, istek ve eleştirilerini</w:t>
            </w:r>
            <w:r w:rsidR="00D51C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yönetime ulaştırabilmeleri için gerekli mekanizmalara sahiptir.</w:t>
            </w:r>
          </w:p>
          <w:p w:rsidR="00D51C41" w:rsidRDefault="00131F10" w:rsidP="00D51C41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  <w:p w:rsidR="00672C6A" w:rsidRPr="00D51C41" w:rsidRDefault="00131F10" w:rsidP="00615E1A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fiyatları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İdari personelce yapılan işlerin yetki ve sorumlulukları dengeli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  <w:p w:rsidR="00C8081B" w:rsidRPr="0052681E" w:rsidRDefault="00C8081B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  <w:r w:rsidR="00A57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3D04" w:rsidRPr="0052681E" w:rsidRDefault="00E43D04" w:rsidP="00131F1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Fırsatlar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alınması ve bunun sonucunda Yü</w:t>
            </w:r>
            <w:r w:rsidR="0020680F">
              <w:rPr>
                <w:rFonts w:ascii="Times New Roman" w:eastAsia="Calibri" w:hAnsi="Times New Roman" w:cs="Times New Roman"/>
                <w:sz w:val="24"/>
                <w:szCs w:val="24"/>
              </w:rPr>
              <w:t>ksek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öğretime olan talebin artması,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Şehir ve yöre halkının üniversiteden beklentilerinin yüksek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  <w:p w:rsidR="009A389E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lastRenderedPageBreak/>
              <w:t>Üniversitemizin bulunduğu bölgede Atatürk Üniversitesi ve Van Yüzüncü Yıl Üniversitesi gibi köklü üniversitelerin bulunması ve üniversite sayısının fazla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bulunduğu şehrin alt yapı ve çevre sorunlarının fazla olması; belediye hizmetlerinin yetersiz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Üniversitemize kayıt yaptıran öğrencilerin başarı düzeyinin ve </w:t>
            </w:r>
            <w:proofErr w:type="spellStart"/>
            <w:r w:rsidRPr="0052681E">
              <w:t>sosyo</w:t>
            </w:r>
            <w:proofErr w:type="spellEnd"/>
            <w:r w:rsidRPr="0052681E">
              <w:t>-ekonomik durumunun zayıf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Üniversitemize kayıt yaptıran öğrencilerin kalabilecekleri, spor yapabilecekleri, boş zamanlarını değerlendirebilecekleri mekânların azlığı,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Üniversitemizin bünyesinde kurulan bazı bölümlere hâlihazırda ve gelecekte öğrenci kaydının yeterli </w:t>
            </w:r>
            <w:r w:rsidRPr="0052681E">
              <w:lastRenderedPageBreak/>
              <w:t>düzeyde olmaması ve bu bölümlerin kapanma tehlikesiyle karşı karşıya kalması,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Ülkemizin genel istihdam problemleri nedeniyle mezunlarımızın iş bulmakta zorlanması,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Yörenin zengin olan insanlarının üniversiteye yeterli destekte bulunmaması,</w:t>
            </w:r>
          </w:p>
          <w:p w:rsidR="00382F4E" w:rsidRPr="0052681E" w:rsidRDefault="00131F10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 w:rsidRPr="0052681E">
              <w:t>Sanayinin yeterli alt yapıya sahip olmaması ve gelişmedeki güçlükler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48"/>
        <w:gridCol w:w="991"/>
        <w:gridCol w:w="990"/>
        <w:gridCol w:w="1133"/>
        <w:gridCol w:w="2032"/>
      </w:tblGrid>
      <w:tr w:rsidR="00B448BF" w:rsidRPr="0052681E" w:rsidTr="007C6718">
        <w:tc>
          <w:tcPr>
            <w:tcW w:w="9039" w:type="dxa"/>
            <w:vAlign w:val="center"/>
          </w:tcPr>
          <w:p w:rsidR="00B448BF" w:rsidRPr="0052681E" w:rsidRDefault="00B448BF" w:rsidP="00B448BF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Stratejik İç Çevre Faktörleri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134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2063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9039" w:type="dxa"/>
          </w:tcPr>
          <w:p w:rsidR="00C8081B" w:rsidRPr="0052681E" w:rsidRDefault="00C8081B" w:rsidP="00B448B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448BF" w:rsidRPr="0052681E" w:rsidTr="007C6718">
        <w:tc>
          <w:tcPr>
            <w:tcW w:w="9039" w:type="dxa"/>
          </w:tcPr>
          <w:p w:rsidR="00B448BF" w:rsidRPr="0052681E" w:rsidRDefault="00B448BF" w:rsidP="00B448B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</w:tc>
        <w:tc>
          <w:tcPr>
            <w:tcW w:w="992" w:type="dxa"/>
          </w:tcPr>
          <w:p w:rsidR="00B448BF" w:rsidRPr="0052681E" w:rsidRDefault="00D03767" w:rsidP="003A02CA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3A02CA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448BF" w:rsidRPr="0052681E" w:rsidRDefault="00476AFE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448BF" w:rsidRPr="0052681E" w:rsidRDefault="005C2D9D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B448BF" w:rsidRPr="0052681E" w:rsidRDefault="00B448BF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 kamuoyu ile bilgi paylaşımı konusunda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paydaşlarının görüşlerini ifade edebilecekleri uygun ortam sunmaktadır.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</w:tc>
        <w:tc>
          <w:tcPr>
            <w:tcW w:w="992" w:type="dxa"/>
          </w:tcPr>
          <w:p w:rsidR="00D03767" w:rsidRDefault="00401531" w:rsidP="001A0734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C359D1" w:rsidP="00C359D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CD52B9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Üniversitenin akademik değerlendirme ve kalite geliştirme çabaları yeterlidir.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D03767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Fiziki koşulların engelli bireylere uygunluğu </w:t>
            </w:r>
            <w:r w:rsidR="006765B3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arttırıl</w:t>
            </w:r>
            <w:r w:rsidR="006765B3">
              <w:rPr>
                <w:rFonts w:ascii="Times New Roman" w:eastAsia="Calibri" w:hAnsi="Times New Roman" w:cs="Times New Roman"/>
                <w:sz w:val="24"/>
                <w:szCs w:val="24"/>
              </w:rPr>
              <w:t>maktadır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</w:tc>
        <w:tc>
          <w:tcPr>
            <w:tcW w:w="992" w:type="dxa"/>
          </w:tcPr>
          <w:p w:rsidR="00D03767" w:rsidRDefault="00BC0B23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A44E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fiyatları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83324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Zayıf Yönler</w:t>
            </w:r>
          </w:p>
        </w:tc>
        <w:tc>
          <w:tcPr>
            <w:tcW w:w="992" w:type="dxa"/>
          </w:tcPr>
          <w:p w:rsidR="00D03767" w:rsidRDefault="003A02CA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İdari personelce yapılan işlerin yetki ve sorumlulukları dengeli değildir.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C2D9D" w:rsidRPr="0052681E" w:rsidRDefault="00B440F1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4,54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06"/>
        <w:gridCol w:w="950"/>
        <w:gridCol w:w="922"/>
        <w:gridCol w:w="1266"/>
        <w:gridCol w:w="950"/>
      </w:tblGrid>
      <w:tr w:rsidR="00C8081B" w:rsidRPr="0052681E" w:rsidTr="007C6718">
        <w:tc>
          <w:tcPr>
            <w:tcW w:w="10127" w:type="dxa"/>
            <w:vAlign w:val="center"/>
          </w:tcPr>
          <w:p w:rsidR="00C8081B" w:rsidRPr="0052681E" w:rsidRDefault="00C8081B" w:rsidP="00C8081B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Stratejik </w:t>
            </w:r>
            <w:r w:rsidR="00534B49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Faktörleri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22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71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C8081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Fırsatlar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nması ve bunun sonucunda Yüksekö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ğretime olan talebin artması,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0,09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534B49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Tehditler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bölgede Atatürk Üniversitesi ve Van Yüzüncü Yıl Üniversitesi gibi köklü üniversitelerin bulunması ve üniversite sayısının fazla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şehrin alt yapı ve çevre sorunlarının fazla olması; belediye hizmetlerinin yetersiz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 xml:space="preserve">Üniversitemize kayıt yaptıran öğrencilerin başarı düzeyinin ve </w:t>
            </w:r>
            <w:proofErr w:type="spellStart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-ekonomik durumunun zayıf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Üniversitemize kayıt yaptıran öğrencilerin kalabilecekleri, spor yapabilecekleri, boş zamanlarını değerlendirebilecekleri mekânların azlığı,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bünyesinde kurulan bazı bölümlere hâlihazırda ve gelecekte öğrenci kaydının yeterli düzeyde olmaması ve bu bölümlerin kapanma tehlikesiyle karşı karşıya kalması,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Ülkemizin genel istihdam problemleri nedeniyle mezunlarımızın iş bulmakta zorlanması,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Yörenin zengin olan insanlarının üniversiteye yeterli destekte bulunmaması,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Sanayinin yeterli alt yapıya sahip olmaması ve gelişmedeki güçlükler</w:t>
            </w:r>
          </w:p>
        </w:tc>
        <w:tc>
          <w:tcPr>
            <w:tcW w:w="950" w:type="dxa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34B49" w:rsidRPr="0052681E" w:rsidTr="007C6718">
        <w:tc>
          <w:tcPr>
            <w:tcW w:w="10127" w:type="dxa"/>
          </w:tcPr>
          <w:p w:rsidR="00534B49" w:rsidRPr="0052681E" w:rsidRDefault="00534B49" w:rsidP="00534B49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50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22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4,11</w:t>
            </w:r>
          </w:p>
        </w:tc>
        <w:tc>
          <w:tcPr>
            <w:tcW w:w="950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6202B" w:rsidRPr="0052681E" w:rsidRDefault="0046202B" w:rsidP="0046202B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1. </w:t>
      </w:r>
      <w:proofErr w:type="spellStart"/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sütunda</w:t>
      </w:r>
      <w:proofErr w:type="spellEnd"/>
      <w:r w:rsidRPr="0052681E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listesi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Kuruluşun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mevcut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gelecekteki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yapısı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göz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önüne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alınarak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,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işletmenin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stratejik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başarısını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etkileyecek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(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Güçlü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yönler-Zayıf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Yönler-F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ırsat</w:t>
      </w:r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lar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T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ehditler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)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listelenir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,</w:t>
      </w:r>
    </w:p>
    <w:p w:rsidR="0046202B" w:rsidRPr="0052681E" w:rsidRDefault="0046202B" w:rsidP="0046202B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2.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kendi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aralarında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karşılaştırılır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her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(0.0)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üzere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verilerek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sayısına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bakmaksızın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1.0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olmalıdır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3.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derecesi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çok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(5.0),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hiç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olacak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şekilde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derecelendirilir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hesaplanır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2.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çarpılarak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iç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faktörleriyle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ilgili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ağırlıklandırılmış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5.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yorum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yapılır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Bu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seçildiği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ağırlığının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düşük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yüksek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olduğu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olmasının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tahinin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gibi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notlar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yazılır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DE32EE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Son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yukarıdan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aşağıya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mevcut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gelecekteki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ne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kadar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etkili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cevap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verebildiğini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gösterir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Ortalama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kabul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9E2F47" w:rsidRPr="0052681E" w:rsidRDefault="009E2F47" w:rsidP="00F011D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Zayıf</w:t>
            </w:r>
          </w:p>
        </w:tc>
      </w:tr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5D" w:rsidRDefault="00D7495D" w:rsidP="006E4369">
      <w:pPr>
        <w:spacing w:after="0" w:line="240" w:lineRule="auto"/>
      </w:pPr>
      <w:r>
        <w:separator/>
      </w:r>
    </w:p>
  </w:endnote>
  <w:endnote w:type="continuationSeparator" w:id="0">
    <w:p w:rsidR="00D7495D" w:rsidRDefault="00D7495D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5D" w:rsidRDefault="00D7495D" w:rsidP="006E4369">
      <w:pPr>
        <w:spacing w:after="0" w:line="240" w:lineRule="auto"/>
      </w:pPr>
      <w:r>
        <w:separator/>
      </w:r>
    </w:p>
  </w:footnote>
  <w:footnote w:type="continuationSeparator" w:id="0">
    <w:p w:rsidR="00D7495D" w:rsidRDefault="00D7495D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8649"/>
      <w:gridCol w:w="2552"/>
      <w:gridCol w:w="1559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…/00</w:t>
          </w:r>
        </w:p>
      </w:tc>
    </w:tr>
  </w:tbl>
  <w:p w:rsidR="00D25D44" w:rsidRDefault="00D25D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C599E"/>
    <w:rsid w:val="006E4369"/>
    <w:rsid w:val="00702F45"/>
    <w:rsid w:val="00732B97"/>
    <w:rsid w:val="00753723"/>
    <w:rsid w:val="00782EE2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5811"/>
    <w:rsid w:val="00A5785A"/>
    <w:rsid w:val="00A80329"/>
    <w:rsid w:val="00AB4D4D"/>
    <w:rsid w:val="00AC28AD"/>
    <w:rsid w:val="00AC3BD1"/>
    <w:rsid w:val="00AC43AC"/>
    <w:rsid w:val="00AD358E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7495D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26A42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51897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31CA4-2E6B-43D2-851A-CC927E6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2</cp:revision>
  <cp:lastPrinted>2020-12-31T18:04:00Z</cp:lastPrinted>
  <dcterms:created xsi:type="dcterms:W3CDTF">2022-03-07T12:31:00Z</dcterms:created>
  <dcterms:modified xsi:type="dcterms:W3CDTF">2022-03-07T12:31:00Z</dcterms:modified>
</cp:coreProperties>
</file>